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666BD" w14:textId="5BA206A7" w:rsidR="00207540" w:rsidRPr="00147228" w:rsidRDefault="00207540">
      <w:pPr>
        <w:jc w:val="center"/>
        <w:rPr>
          <w:b/>
        </w:rPr>
      </w:pPr>
      <w:r w:rsidRPr="00147228">
        <w:rPr>
          <w:b/>
        </w:rPr>
        <w:t xml:space="preserve">MOTION </w:t>
      </w:r>
      <w:r w:rsidR="002F4DCC" w:rsidRPr="00147228">
        <w:rPr>
          <w:b/>
        </w:rPr>
        <w:t>INCOMPATIBILITES D’EXERCICE</w:t>
      </w:r>
    </w:p>
    <w:p w14:paraId="380AB0B2" w14:textId="77777777" w:rsidR="00207540" w:rsidRPr="00147228" w:rsidRDefault="00207540" w:rsidP="00304A88">
      <w:pPr>
        <w:rPr>
          <w:b/>
        </w:rPr>
      </w:pPr>
    </w:p>
    <w:p w14:paraId="0D295D2E" w14:textId="74A6DAEC" w:rsidR="00D25052" w:rsidRPr="00147228" w:rsidRDefault="00D25052">
      <w:pPr>
        <w:jc w:val="center"/>
        <w:rPr>
          <w:b/>
        </w:rPr>
      </w:pPr>
      <w:r w:rsidRPr="00147228">
        <w:rPr>
          <w:b/>
        </w:rPr>
        <w:t xml:space="preserve">La FNUJA, réunie </w:t>
      </w:r>
      <w:r w:rsidR="0074153F" w:rsidRPr="00147228">
        <w:rPr>
          <w:b/>
        </w:rPr>
        <w:t xml:space="preserve">en Comité </w:t>
      </w:r>
      <w:r w:rsidR="002F4DCC" w:rsidRPr="00147228">
        <w:rPr>
          <w:b/>
        </w:rPr>
        <w:t>à Paris le 3</w:t>
      </w:r>
      <w:r w:rsidRPr="00147228">
        <w:rPr>
          <w:b/>
        </w:rPr>
        <w:t xml:space="preserve"> </w:t>
      </w:r>
      <w:r w:rsidR="002F4DCC" w:rsidRPr="00147228">
        <w:rPr>
          <w:b/>
        </w:rPr>
        <w:t xml:space="preserve">septembre </w:t>
      </w:r>
      <w:r w:rsidRPr="00147228">
        <w:rPr>
          <w:b/>
        </w:rPr>
        <w:t>2011</w:t>
      </w:r>
    </w:p>
    <w:p w14:paraId="06E87040" w14:textId="77777777" w:rsidR="00D25052" w:rsidRPr="00147228" w:rsidRDefault="00D25052"/>
    <w:p w14:paraId="1E27061E" w14:textId="77777777" w:rsidR="00D25052" w:rsidRPr="00147228" w:rsidRDefault="00D25052"/>
    <w:p w14:paraId="47EE3DBE" w14:textId="1FCF9C11" w:rsidR="00F96436" w:rsidRPr="00147228" w:rsidRDefault="00E238A0" w:rsidP="002404F5">
      <w:pPr>
        <w:jc w:val="both"/>
      </w:pPr>
      <w:r w:rsidRPr="00147228">
        <w:t xml:space="preserve">Prend acte de la concertation engagée par le CNB sur </w:t>
      </w:r>
      <w:r w:rsidR="00F96436" w:rsidRPr="00147228">
        <w:t xml:space="preserve">les incompatibilités </w:t>
      </w:r>
      <w:r w:rsidR="00731564" w:rsidRPr="00147228">
        <w:t>avec</w:t>
      </w:r>
      <w:r w:rsidR="00F96436" w:rsidRPr="00147228">
        <w:t xml:space="preserve"> l’exercice de la profession d’avocat</w:t>
      </w:r>
      <w:r w:rsidR="005562E0" w:rsidRPr="00147228">
        <w:t> </w:t>
      </w:r>
      <w:r w:rsidR="00F96436" w:rsidRPr="00147228">
        <w:t>et de la proposition de modification des règles applicables en l</w:t>
      </w:r>
      <w:r w:rsidR="00306345">
        <w:t>a matière consistant notamment</w:t>
      </w:r>
      <w:r w:rsidR="00F96436" w:rsidRPr="00147228">
        <w:t> :</w:t>
      </w:r>
    </w:p>
    <w:p w14:paraId="1C715352" w14:textId="77777777" w:rsidR="00F96436" w:rsidRPr="00147228" w:rsidRDefault="00F96436" w:rsidP="002404F5">
      <w:pPr>
        <w:jc w:val="both"/>
      </w:pPr>
    </w:p>
    <w:p w14:paraId="55E62787" w14:textId="514BCA75" w:rsidR="00F96436" w:rsidRPr="00147228" w:rsidRDefault="00F96436" w:rsidP="00147228">
      <w:pPr>
        <w:ind w:left="567" w:hanging="567"/>
        <w:jc w:val="both"/>
      </w:pPr>
      <w:r w:rsidRPr="00147228">
        <w:t>-</w:t>
      </w:r>
      <w:r w:rsidRPr="00147228">
        <w:tab/>
        <w:t xml:space="preserve">d’une part, </w:t>
      </w:r>
      <w:r w:rsidR="00306345">
        <w:t xml:space="preserve">à substituer au  principe actuel d’incompatibilité d’exercice de la profession d’avocat avec toute autre activité, sauf exceptions limitativement énumérées, </w:t>
      </w:r>
      <w:r w:rsidRPr="00147228">
        <w:t>le principe selon lequel l’avocat ne peut exercer aucune autre profession, fonction, mission ou activité qui, par nature ou ses modalités d’exercice, porterait atteinte à l’indépendance, aux principes essentiels ou aux règles de la profession d’avocat ou qui l’empêcherait d’exercer effectivement celle-ci ;</w:t>
      </w:r>
    </w:p>
    <w:p w14:paraId="1288DFFF" w14:textId="2805E8EB" w:rsidR="00F96436" w:rsidRPr="00147228" w:rsidRDefault="00F96436" w:rsidP="002404F5">
      <w:pPr>
        <w:jc w:val="both"/>
      </w:pPr>
    </w:p>
    <w:p w14:paraId="1E2EA2FD" w14:textId="039E0D42" w:rsidR="00147228" w:rsidRDefault="00F96436" w:rsidP="0014722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pPr>
      <w:r w:rsidRPr="00147228">
        <w:t>-</w:t>
      </w:r>
      <w:r w:rsidRPr="00147228">
        <w:tab/>
        <w:t>et, d’autre part, à créer</w:t>
      </w:r>
      <w:r w:rsidR="0074153F" w:rsidRPr="0074153F">
        <w:t xml:space="preserve"> </w:t>
      </w:r>
      <w:r w:rsidR="0074153F" w:rsidRPr="00147228">
        <w:t xml:space="preserve">pour l’application du </w:t>
      </w:r>
      <w:r w:rsidR="0074153F">
        <w:t xml:space="preserve">nouveau </w:t>
      </w:r>
      <w:r w:rsidR="0074153F" w:rsidRPr="00147228">
        <w:t>principe</w:t>
      </w:r>
      <w:r w:rsidRPr="00147228">
        <w:t xml:space="preserve"> une d</w:t>
      </w:r>
      <w:r w:rsidR="0074153F">
        <w:t>ouble présomption :</w:t>
      </w:r>
    </w:p>
    <w:p w14:paraId="7D60D95F" w14:textId="77777777" w:rsidR="00147228" w:rsidRPr="00147228" w:rsidRDefault="00147228" w:rsidP="0014722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pPr>
    </w:p>
    <w:p w14:paraId="100F9162" w14:textId="499E1FA4" w:rsidR="00731564"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eastAsia="Calibri"/>
          <w:color w:val="000000"/>
        </w:rPr>
      </w:pPr>
      <w:r w:rsidRPr="00147228">
        <w:tab/>
        <w:t>.</w:t>
      </w:r>
      <w:r w:rsidRPr="00147228">
        <w:tab/>
      </w:r>
      <w:proofErr w:type="gramStart"/>
      <w:r w:rsidRPr="00147228">
        <w:rPr>
          <w:rFonts w:eastAsia="Calibri"/>
          <w:color w:val="000000"/>
        </w:rPr>
        <w:t>d’incompatibilité</w:t>
      </w:r>
      <w:proofErr w:type="gramEnd"/>
      <w:r w:rsidR="00731564" w:rsidRPr="00147228">
        <w:rPr>
          <w:rFonts w:eastAsia="Calibri"/>
          <w:color w:val="000000"/>
        </w:rPr>
        <w:t xml:space="preserve"> de la profession d’avocat avec l’exercice de toute profession commerciale ou artisanale, ainsi qu’avec toute fonction de direction ou de représentation d’une société qui a pour </w:t>
      </w:r>
      <w:r w:rsidRPr="00147228">
        <w:rPr>
          <w:rFonts w:eastAsia="Calibri"/>
          <w:color w:val="000000"/>
        </w:rPr>
        <w:t>objet une activité commerciale,</w:t>
      </w:r>
    </w:p>
    <w:p w14:paraId="02F9B16B" w14:textId="77777777" w:rsidR="00147228" w:rsidRP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eastAsia="Calibri"/>
          <w:color w:val="000000"/>
        </w:rPr>
      </w:pPr>
    </w:p>
    <w:p w14:paraId="60B36780" w14:textId="56216D01" w:rsid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eastAsia="Calibri"/>
          <w:color w:val="000000"/>
        </w:rPr>
      </w:pPr>
      <w:r w:rsidRPr="00147228">
        <w:rPr>
          <w:rFonts w:eastAsia="Calibri"/>
          <w:color w:val="000000"/>
        </w:rPr>
        <w:tab/>
        <w:t>.</w:t>
      </w:r>
      <w:r w:rsidRPr="00147228">
        <w:rPr>
          <w:rFonts w:eastAsia="Calibri"/>
          <w:color w:val="000000"/>
        </w:rPr>
        <w:tab/>
      </w:r>
      <w:proofErr w:type="gramStart"/>
      <w:r w:rsidRPr="00147228">
        <w:rPr>
          <w:rFonts w:eastAsia="Calibri"/>
          <w:color w:val="000000"/>
        </w:rPr>
        <w:t>de</w:t>
      </w:r>
      <w:proofErr w:type="gramEnd"/>
      <w:r w:rsidRPr="00147228">
        <w:rPr>
          <w:rFonts w:eastAsia="Calibri"/>
          <w:color w:val="000000"/>
        </w:rPr>
        <w:t xml:space="preserve"> compatibilité avec tout mandat social, y compris celui qui comprendrait une fonction de direction ou de représentation, si l’objet de la société est civil, ainsi qu’avec l’exercice de toute profession, activité, fonction, emploi de caractère civil,</w:t>
      </w:r>
    </w:p>
    <w:p w14:paraId="401807C6" w14:textId="77777777" w:rsidR="00147228" w:rsidRP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eastAsia="Calibri"/>
          <w:color w:val="000000"/>
        </w:rPr>
      </w:pPr>
    </w:p>
    <w:p w14:paraId="038E0EAF" w14:textId="161F673F" w:rsid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709"/>
        <w:jc w:val="both"/>
        <w:rPr>
          <w:rFonts w:eastAsia="Calibri"/>
          <w:color w:val="000000"/>
        </w:rPr>
      </w:pPr>
      <w:r w:rsidRPr="00147228">
        <w:rPr>
          <w:rFonts w:eastAsia="Calibri"/>
          <w:color w:val="000000"/>
        </w:rPr>
        <w:tab/>
      </w:r>
      <w:proofErr w:type="gramStart"/>
      <w:r w:rsidRPr="00147228">
        <w:rPr>
          <w:rFonts w:eastAsia="Calibri"/>
          <w:color w:val="000000"/>
        </w:rPr>
        <w:t>le</w:t>
      </w:r>
      <w:proofErr w:type="gramEnd"/>
      <w:r w:rsidRPr="00147228">
        <w:rPr>
          <w:rFonts w:eastAsia="Calibri"/>
          <w:color w:val="000000"/>
        </w:rPr>
        <w:t xml:space="preserve"> caractère</w:t>
      </w:r>
      <w:r w:rsidRPr="00147228">
        <w:t xml:space="preserve"> </w:t>
      </w:r>
      <w:r w:rsidRPr="00147228">
        <w:rPr>
          <w:rFonts w:eastAsia="Calibri"/>
          <w:color w:val="000000"/>
        </w:rPr>
        <w:t>compatible étant déterminé en fonction notamment des éléments suivants :</w:t>
      </w:r>
    </w:p>
    <w:p w14:paraId="74EF0FB8" w14:textId="77777777" w:rsidR="00147228" w:rsidRP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709"/>
        <w:jc w:val="both"/>
        <w:rPr>
          <w:rFonts w:eastAsia="Calibri"/>
          <w:color w:val="000000"/>
        </w:rPr>
      </w:pPr>
    </w:p>
    <w:p w14:paraId="5D091257" w14:textId="4939E45F" w:rsid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142"/>
        <w:jc w:val="both"/>
        <w:rPr>
          <w:rFonts w:eastAsia="Calibri"/>
          <w:color w:val="000000"/>
        </w:rPr>
      </w:pPr>
      <w:r w:rsidRPr="00147228">
        <w:rPr>
          <w:rFonts w:eastAsia="Calibri"/>
          <w:color w:val="000000"/>
        </w:rPr>
        <w:t>.</w:t>
      </w:r>
      <w:r w:rsidRPr="00147228">
        <w:rPr>
          <w:rFonts w:eastAsia="Calibri"/>
          <w:color w:val="000000"/>
        </w:rPr>
        <w:tab/>
      </w:r>
      <w:proofErr w:type="gramStart"/>
      <w:r w:rsidRPr="00147228">
        <w:rPr>
          <w:rFonts w:eastAsia="Calibri"/>
          <w:color w:val="000000"/>
        </w:rPr>
        <w:t>consacrer</w:t>
      </w:r>
      <w:proofErr w:type="gramEnd"/>
      <w:r w:rsidRPr="00147228">
        <w:rPr>
          <w:rFonts w:eastAsia="Calibri"/>
          <w:color w:val="000000"/>
        </w:rPr>
        <w:t xml:space="preserve"> le temps nécessaire à l’exercice effectif et à titre principal de la profession d’avocat ;</w:t>
      </w:r>
    </w:p>
    <w:p w14:paraId="0298F0EB" w14:textId="77777777" w:rsidR="00147228" w:rsidRP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142"/>
        <w:jc w:val="both"/>
        <w:rPr>
          <w:rFonts w:eastAsia="Calibri"/>
          <w:color w:val="000000"/>
        </w:rPr>
      </w:pPr>
    </w:p>
    <w:p w14:paraId="40117F6D" w14:textId="4FE67CE9" w:rsidR="00147228" w:rsidRPr="00147228" w:rsidRDefault="00147228" w:rsidP="0014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142"/>
        <w:jc w:val="both"/>
        <w:rPr>
          <w:rFonts w:eastAsia="Calibri"/>
          <w:color w:val="000000"/>
        </w:rPr>
      </w:pPr>
      <w:r w:rsidRPr="00147228">
        <w:rPr>
          <w:rFonts w:eastAsia="Calibri"/>
          <w:color w:val="000000"/>
        </w:rPr>
        <w:t>.</w:t>
      </w:r>
      <w:r w:rsidRPr="00147228">
        <w:rPr>
          <w:rFonts w:eastAsia="Calibri"/>
          <w:color w:val="000000"/>
        </w:rPr>
        <w:tab/>
      </w:r>
      <w:proofErr w:type="gramStart"/>
      <w:r w:rsidRPr="00147228">
        <w:rPr>
          <w:rFonts w:eastAsia="Calibri"/>
          <w:color w:val="000000"/>
        </w:rPr>
        <w:t>n’exercer</w:t>
      </w:r>
      <w:proofErr w:type="gramEnd"/>
      <w:r w:rsidRPr="00147228">
        <w:rPr>
          <w:rFonts w:eastAsia="Calibri"/>
          <w:color w:val="000000"/>
        </w:rPr>
        <w:t xml:space="preserve"> aucune activité qui par nature ferait naître un risque de conflit d’intérêts ou qui porterait atteinte à la dignité et à la considération de la profession d’avocat.</w:t>
      </w:r>
    </w:p>
    <w:p w14:paraId="405F13A7" w14:textId="77777777" w:rsidR="00147228" w:rsidRDefault="00147228" w:rsidP="005562E0">
      <w:pPr>
        <w:jc w:val="both"/>
        <w:rPr>
          <w:rFonts w:eastAsia="Calibri"/>
          <w:color w:val="000000"/>
        </w:rPr>
      </w:pPr>
    </w:p>
    <w:p w14:paraId="202327A6" w14:textId="1DA82463" w:rsidR="003E1874" w:rsidRPr="00147228" w:rsidRDefault="00F96436" w:rsidP="002F4DCC">
      <w:pPr>
        <w:jc w:val="both"/>
      </w:pPr>
      <w:r w:rsidRPr="00147228">
        <w:t xml:space="preserve">Estime que les </w:t>
      </w:r>
      <w:r w:rsidR="00147228">
        <w:t xml:space="preserve">présomptions et </w:t>
      </w:r>
      <w:r w:rsidR="002F4DCC" w:rsidRPr="00147228">
        <w:t xml:space="preserve">éléments </w:t>
      </w:r>
      <w:r w:rsidR="00147228" w:rsidRPr="00147228">
        <w:t>déterminant</w:t>
      </w:r>
      <w:r w:rsidR="002F4DCC" w:rsidRPr="00147228">
        <w:t xml:space="preserve"> le caractère de compatibilité</w:t>
      </w:r>
      <w:r w:rsidRPr="00147228">
        <w:t xml:space="preserve"> </w:t>
      </w:r>
      <w:r w:rsidR="00147228">
        <w:t xml:space="preserve">ou d’incompatibilité </w:t>
      </w:r>
      <w:r w:rsidR="002F4DCC" w:rsidRPr="00147228">
        <w:t xml:space="preserve">d’une activité avec </w:t>
      </w:r>
      <w:r w:rsidR="00147228">
        <w:t xml:space="preserve">l’exercice de </w:t>
      </w:r>
      <w:r w:rsidR="002F4DCC" w:rsidRPr="00147228">
        <w:t xml:space="preserve">la profession d’avocats </w:t>
      </w:r>
      <w:r w:rsidRPr="00147228">
        <w:t xml:space="preserve">sont </w:t>
      </w:r>
      <w:r w:rsidR="002F4DCC" w:rsidRPr="00147228">
        <w:t>définis</w:t>
      </w:r>
      <w:r w:rsidRPr="00147228">
        <w:t xml:space="preserve"> de manière</w:t>
      </w:r>
      <w:r w:rsidR="00846072">
        <w:t xml:space="preserve"> trop</w:t>
      </w:r>
      <w:r w:rsidRPr="00147228">
        <w:t xml:space="preserve"> imprécise </w:t>
      </w:r>
      <w:r w:rsidR="002F4DCC" w:rsidRPr="00147228">
        <w:t>et</w:t>
      </w:r>
      <w:r w:rsidRPr="00147228">
        <w:t xml:space="preserve"> sujet</w:t>
      </w:r>
      <w:r w:rsidR="002F4DCC" w:rsidRPr="00147228">
        <w:t>te</w:t>
      </w:r>
      <w:r w:rsidRPr="00147228">
        <w:t xml:space="preserve"> à des </w:t>
      </w:r>
      <w:r w:rsidR="002F4DCC" w:rsidRPr="00147228">
        <w:t>interprétations divergentes d’un barreau à un autre ;</w:t>
      </w:r>
    </w:p>
    <w:p w14:paraId="6EEDD14E" w14:textId="77777777" w:rsidR="002F4DCC" w:rsidRPr="00147228" w:rsidRDefault="002F4DCC" w:rsidP="00074DB8">
      <w:pPr>
        <w:ind w:left="708" w:hanging="708"/>
        <w:jc w:val="both"/>
      </w:pPr>
    </w:p>
    <w:p w14:paraId="37AA0F9B" w14:textId="084A18DA" w:rsidR="002F4DCC" w:rsidRPr="00147228" w:rsidRDefault="00846072" w:rsidP="002F4DCC">
      <w:pPr>
        <w:jc w:val="both"/>
      </w:pPr>
      <w:r>
        <w:t>Est</w:t>
      </w:r>
      <w:r w:rsidR="00147228">
        <w:t xml:space="preserve"> </w:t>
      </w:r>
      <w:r w:rsidR="00731564" w:rsidRPr="00147228">
        <w:t>favorab</w:t>
      </w:r>
      <w:bookmarkStart w:id="0" w:name="_GoBack"/>
      <w:bookmarkEnd w:id="0"/>
      <w:r w:rsidR="00731564" w:rsidRPr="00147228">
        <w:t xml:space="preserve">le / </w:t>
      </w:r>
      <w:r w:rsidR="00147228">
        <w:t xml:space="preserve">Est </w:t>
      </w:r>
      <w:r w:rsidR="00731564" w:rsidRPr="00147228">
        <w:t>défavorable à un renversement du principe actuel d’incompatibilités par un principe autorisant l’avocat à exercer outre sa profession, de manière accessoire ou secondaire, tout autre profession, salariée ou non, dans le respect des principes essentiels, dont notamment celui de l’indépendance.</w:t>
      </w:r>
    </w:p>
    <w:p w14:paraId="02238EFD" w14:textId="77777777" w:rsidR="00731564" w:rsidRPr="00147228" w:rsidRDefault="00731564" w:rsidP="002F4DCC">
      <w:pPr>
        <w:jc w:val="both"/>
        <w:rPr>
          <w:rFonts w:eastAsia="Calibri"/>
          <w:color w:val="000000"/>
        </w:rPr>
      </w:pPr>
    </w:p>
    <w:p w14:paraId="1CB4C4C0" w14:textId="77777777" w:rsidR="002F4DCC" w:rsidRPr="00147228" w:rsidRDefault="002F4DCC" w:rsidP="002F4DCC">
      <w:pPr>
        <w:jc w:val="both"/>
        <w:rPr>
          <w:rFonts w:eastAsia="Calibri"/>
          <w:color w:val="000000"/>
        </w:rPr>
      </w:pPr>
    </w:p>
    <w:p w14:paraId="5DECB923" w14:textId="77777777" w:rsidR="002F4DCC" w:rsidRPr="00147228" w:rsidRDefault="002F4DCC" w:rsidP="002F4DCC">
      <w:pPr>
        <w:jc w:val="both"/>
      </w:pPr>
    </w:p>
    <w:p w14:paraId="348399A5" w14:textId="77777777" w:rsidR="002F4DCC" w:rsidRPr="00147228" w:rsidRDefault="002F4DCC" w:rsidP="00074DB8">
      <w:pPr>
        <w:ind w:left="708" w:hanging="708"/>
        <w:jc w:val="both"/>
      </w:pPr>
    </w:p>
    <w:sectPr w:rsidR="002F4DCC" w:rsidRPr="00147228" w:rsidSect="00074DB8">
      <w:pgSz w:w="11905" w:h="16837"/>
      <w:pgMar w:top="1417" w:right="1417" w:bottom="993"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MS Mincho">
    <w:charset w:val="00"/>
    <w:family w:val="auto"/>
    <w:pitch w:val="variable"/>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50B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77C63635"/>
    <w:multiLevelType w:val="hybridMultilevel"/>
    <w:tmpl w:val="6A361238"/>
    <w:lvl w:ilvl="0" w:tplc="775C5EE8">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0C"/>
    <w:rsid w:val="000006C3"/>
    <w:rsid w:val="00074DB8"/>
    <w:rsid w:val="00076192"/>
    <w:rsid w:val="00147228"/>
    <w:rsid w:val="001E4576"/>
    <w:rsid w:val="00207540"/>
    <w:rsid w:val="002404F5"/>
    <w:rsid w:val="00244F0C"/>
    <w:rsid w:val="002F4DCC"/>
    <w:rsid w:val="002F5EB2"/>
    <w:rsid w:val="00304A88"/>
    <w:rsid w:val="00306345"/>
    <w:rsid w:val="0034410B"/>
    <w:rsid w:val="003E1874"/>
    <w:rsid w:val="004B1508"/>
    <w:rsid w:val="005067FC"/>
    <w:rsid w:val="00552887"/>
    <w:rsid w:val="005562E0"/>
    <w:rsid w:val="00731564"/>
    <w:rsid w:val="0074153F"/>
    <w:rsid w:val="00846072"/>
    <w:rsid w:val="00A5556F"/>
    <w:rsid w:val="00B117C1"/>
    <w:rsid w:val="00C83ECC"/>
    <w:rsid w:val="00CC0E4D"/>
    <w:rsid w:val="00CD5626"/>
    <w:rsid w:val="00CF39B5"/>
    <w:rsid w:val="00D25052"/>
    <w:rsid w:val="00D86CF2"/>
    <w:rsid w:val="00E238A0"/>
    <w:rsid w:val="00E73D7F"/>
    <w:rsid w:val="00ED416F"/>
    <w:rsid w:val="00F96436"/>
    <w:rsid w:val="00FF50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5A2DD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extedebulles">
    <w:name w:val="Balloon Text"/>
    <w:basedOn w:val="Normal"/>
    <w:link w:val="TextedebullesCar"/>
    <w:uiPriority w:val="99"/>
    <w:semiHidden/>
    <w:unhideWhenUsed/>
    <w:rsid w:val="00207540"/>
    <w:rPr>
      <w:rFonts w:ascii="Tahoma" w:hAnsi="Tahoma" w:cs="Tahoma"/>
      <w:sz w:val="16"/>
      <w:szCs w:val="16"/>
    </w:rPr>
  </w:style>
  <w:style w:type="character" w:customStyle="1" w:styleId="TextedebullesCar">
    <w:name w:val="Texte de bulles Car"/>
    <w:basedOn w:val="Policepardfaut"/>
    <w:link w:val="Textedebulles"/>
    <w:uiPriority w:val="99"/>
    <w:semiHidden/>
    <w:rsid w:val="00207540"/>
    <w:rPr>
      <w:rFonts w:ascii="Tahoma" w:hAnsi="Tahoma" w:cs="Tahoma"/>
      <w:sz w:val="16"/>
      <w:szCs w:val="16"/>
      <w:lang w:eastAsia="ar-SA"/>
    </w:rPr>
  </w:style>
  <w:style w:type="paragraph" w:styleId="Paragraphedeliste">
    <w:name w:val="List Paragraph"/>
    <w:basedOn w:val="Normal"/>
    <w:uiPriority w:val="34"/>
    <w:qFormat/>
    <w:rsid w:val="00A5556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extedebulles">
    <w:name w:val="Balloon Text"/>
    <w:basedOn w:val="Normal"/>
    <w:link w:val="TextedebullesCar"/>
    <w:uiPriority w:val="99"/>
    <w:semiHidden/>
    <w:unhideWhenUsed/>
    <w:rsid w:val="00207540"/>
    <w:rPr>
      <w:rFonts w:ascii="Tahoma" w:hAnsi="Tahoma" w:cs="Tahoma"/>
      <w:sz w:val="16"/>
      <w:szCs w:val="16"/>
    </w:rPr>
  </w:style>
  <w:style w:type="character" w:customStyle="1" w:styleId="TextedebullesCar">
    <w:name w:val="Texte de bulles Car"/>
    <w:basedOn w:val="Policepardfaut"/>
    <w:link w:val="Textedebulles"/>
    <w:uiPriority w:val="99"/>
    <w:semiHidden/>
    <w:rsid w:val="00207540"/>
    <w:rPr>
      <w:rFonts w:ascii="Tahoma" w:hAnsi="Tahoma" w:cs="Tahoma"/>
      <w:sz w:val="16"/>
      <w:szCs w:val="16"/>
      <w:lang w:eastAsia="ar-SA"/>
    </w:rPr>
  </w:style>
  <w:style w:type="paragraph" w:styleId="Paragraphedeliste">
    <w:name w:val="List Paragraph"/>
    <w:basedOn w:val="Normal"/>
    <w:uiPriority w:val="34"/>
    <w:qFormat/>
    <w:rsid w:val="00A55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FCF6-43DA-0D48-A4EC-2F6E7A02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358</Words>
  <Characters>1970</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La FNUJA, réunie en Congrès à Bordeaux du 12 au 15 mai 2010,</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FNUJA, réunie en Congrès à Bordeaux du 12 au 15 mai 2010,</dc:title>
  <dc:subject/>
  <dc:creator>Selas Guillet</dc:creator>
  <cp:keywords/>
  <cp:lastModifiedBy>Aminata NIAKATE</cp:lastModifiedBy>
  <cp:revision>7</cp:revision>
  <cp:lastPrinted>1900-12-31T23:50:39Z</cp:lastPrinted>
  <dcterms:created xsi:type="dcterms:W3CDTF">2011-08-19T22:07:00Z</dcterms:created>
  <dcterms:modified xsi:type="dcterms:W3CDTF">2011-08-20T15:21:00Z</dcterms:modified>
</cp:coreProperties>
</file>